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Résolution présentée par la délégation [de la/du/des]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 du pays]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</w:t>
        <w:tab/>
        <w:tab/>
        <w:tab/>
        <w:t xml:space="preserve">[nom du thème]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Concerne</w:t>
        <w:tab/>
        <w:tab/>
        <w:t xml:space="preserve">[titre de la résolution]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L’Assemblée Générale,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Adjectif</w:t>
        <w:tab/>
        <w:t xml:space="preserve">quare hoc quidem praeceptum, cuiuscumque est, ad tollendam amicitiam valet,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Adverbe</w:t>
        <w:tab/>
        <w:t xml:space="preserve">illud potius praecipiendum fuit, ut eam diligentiam adhiberemus in amicitiis comparandis,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Adjectif</w:t>
        <w:tab/>
        <w:t xml:space="preserve">quare hoc quidem praeceptum, cuiuscumque est, ad tollendam amicitiam valet,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Adverbe</w:t>
        <w:tab/>
        <w:t xml:space="preserve">illud potius praecipiendum fuit, ut eam diligentiam adhiberemus in amicitiis comparandis,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0" w:right="0" w:hanging="21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Décide</w:t>
        <w:tab/>
        <w:t xml:space="preserve">ut ne quando amare inciperemus eum, quem aliquando odisse possemus. Quin etiam si minus felices in diligendo fuissemus, ferendum id Scipio potius quam inimicitiarum tempus cogitandum putabat 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6" w:right="0" w:hanging="70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Quin etiam si minus felices in diligendo fuissemus, ferendum id Scipio potius quam inimicitiarum tempus cogitandum putabat 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6" w:right="0" w:hanging="70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6" w:right="0" w:hanging="70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ut ne quando amare inciperemus eum, quem aliquando odisse possemus. Quin etiam si minus felices in diligendo fuissemus, ferendum id Scipio potius quam inimicitiarum tempus cogitandum putabat.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texte français fait foi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(pour les résolutions prises à l’AG, veuillez écrire dans la langue de la traduction quel texte fait foi et non trois fois la même langue sur les trois traductions)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